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29" w:rsidRDefault="002F02E7" w:rsidP="00334529">
      <w:pPr>
        <w:snapToGrid w:val="0"/>
        <w:spacing w:line="594" w:lineRule="exact"/>
        <w:rPr>
          <w:rFonts w:ascii="方正小标宋简体" w:eastAsia="方正小标宋简体" w:hAnsi="仿宋"/>
          <w:color w:val="000000"/>
          <w:sz w:val="32"/>
          <w:szCs w:val="32"/>
        </w:rPr>
      </w:pPr>
      <w:r>
        <w:rPr>
          <w:rFonts w:ascii="方正小标宋简体" w:eastAsia="方正小标宋简体" w:hAnsi="仿宋" w:hint="eastAsia"/>
          <w:color w:val="000000"/>
          <w:sz w:val="32"/>
          <w:szCs w:val="32"/>
        </w:rPr>
        <w:t>附件2</w:t>
      </w:r>
    </w:p>
    <w:p w:rsidR="002F02E7" w:rsidRPr="00334529" w:rsidRDefault="002F02E7" w:rsidP="00334529">
      <w:pPr>
        <w:snapToGrid w:val="0"/>
        <w:spacing w:line="594" w:lineRule="exact"/>
        <w:rPr>
          <w:rFonts w:ascii="方正小标宋简体" w:eastAsia="方正小标宋简体" w:hAnsi="仿宋"/>
          <w:color w:val="000000"/>
          <w:sz w:val="32"/>
          <w:szCs w:val="32"/>
        </w:rPr>
      </w:pPr>
    </w:p>
    <w:p w:rsidR="00334529" w:rsidRPr="002F02E7" w:rsidRDefault="00334529" w:rsidP="00334529">
      <w:pPr>
        <w:snapToGrid w:val="0"/>
        <w:spacing w:line="594" w:lineRule="exact"/>
        <w:jc w:val="center"/>
        <w:rPr>
          <w:rStyle w:val="a3"/>
          <w:rFonts w:ascii="方正小标宋简体" w:eastAsia="方正小标宋简体" w:hAnsi="仿宋"/>
          <w:color w:val="000000"/>
          <w:sz w:val="44"/>
          <w:szCs w:val="44"/>
          <w:u w:val="none"/>
        </w:rPr>
      </w:pPr>
      <w:r w:rsidRPr="002F02E7">
        <w:rPr>
          <w:rFonts w:ascii="方正小标宋简体" w:eastAsia="方正小标宋简体" w:hAnsi="仿宋" w:hint="eastAsia"/>
          <w:color w:val="000000"/>
          <w:sz w:val="44"/>
          <w:szCs w:val="44"/>
        </w:rPr>
        <w:t>特殊医学用途配方食品</w:t>
      </w:r>
      <w:r w:rsidRPr="002F02E7">
        <w:rPr>
          <w:rStyle w:val="a3"/>
          <w:rFonts w:ascii="方正小标宋简体" w:eastAsia="方正小标宋简体" w:hAnsi="仿宋" w:hint="eastAsia"/>
          <w:color w:val="000000"/>
          <w:sz w:val="44"/>
          <w:szCs w:val="44"/>
          <w:u w:val="none"/>
        </w:rPr>
        <w:t>标签、说明书样稿</w:t>
      </w:r>
    </w:p>
    <w:p w:rsidR="00684902" w:rsidRPr="00E31773" w:rsidRDefault="002E72C0" w:rsidP="00684902">
      <w:pPr>
        <w:spacing w:line="594" w:lineRule="exact"/>
        <w:jc w:val="center"/>
        <w:rPr>
          <w:rFonts w:ascii="楷体_GB2312" w:eastAsia="楷体_GB2312" w:hAnsi="ˎ̥" w:cs="Arial" w:hint="eastAsia"/>
          <w:color w:val="000000"/>
          <w:kern w:val="0"/>
          <w:sz w:val="32"/>
          <w:szCs w:val="32"/>
        </w:rPr>
      </w:pPr>
      <w:r w:rsidRPr="002E72C0">
        <w:rPr>
          <w:rFonts w:ascii="楷体_GB2312" w:eastAsia="楷体_GB2312" w:hAnsi="ˎ̥" w:cs="Arial" w:hint="eastAsia"/>
          <w:color w:val="000000"/>
          <w:kern w:val="0"/>
          <w:sz w:val="32"/>
          <w:szCs w:val="32"/>
        </w:rPr>
        <w:t>（征求意见稿）</w:t>
      </w:r>
    </w:p>
    <w:p w:rsidR="00334529" w:rsidRPr="00684902" w:rsidRDefault="00334529" w:rsidP="00334529">
      <w:pPr>
        <w:snapToGrid w:val="0"/>
        <w:spacing w:line="594" w:lineRule="exact"/>
        <w:jc w:val="center"/>
        <w:rPr>
          <w:rStyle w:val="a3"/>
          <w:rFonts w:ascii="方正小标宋简体" w:eastAsia="方正小标宋简体"/>
          <w:color w:val="000000"/>
          <w:sz w:val="36"/>
          <w:szCs w:val="36"/>
          <w:u w:val="none"/>
        </w:rPr>
      </w:pPr>
    </w:p>
    <w:p w:rsidR="00334529" w:rsidRPr="00334529" w:rsidRDefault="00334529" w:rsidP="00334529">
      <w:pPr>
        <w:spacing w:line="594" w:lineRule="exact"/>
        <w:ind w:firstLineChars="200" w:firstLine="643"/>
        <w:rPr>
          <w:rFonts w:ascii="仿宋_GB2312" w:eastAsia="仿宋_GB2312" w:hAnsi="仿宋" w:cs="Arial"/>
          <w:color w:val="000000"/>
          <w:sz w:val="32"/>
          <w:szCs w:val="32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[产品名称] 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包括</w:t>
      </w:r>
      <w:r w:rsidR="009672DC"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通用名称</w:t>
      </w:r>
      <w:r w:rsidR="009672DC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、商品名称、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英文名称。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/>
          <w:bCs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>[产品类别]</w:t>
      </w:r>
      <w:r w:rsidRPr="00334529">
        <w:rPr>
          <w:rStyle w:val="a3"/>
          <w:rFonts w:ascii="仿宋_GB2312" w:eastAsia="仿宋_GB2312" w:hAnsi="仿宋" w:hint="eastAsia"/>
          <w:bCs/>
          <w:color w:val="000000"/>
          <w:sz w:val="32"/>
          <w:szCs w:val="32"/>
          <w:u w:val="none"/>
        </w:rPr>
        <w:t xml:space="preserve"> 按照</w:t>
      </w:r>
      <w:r w:rsidRPr="00334529">
        <w:rPr>
          <w:rFonts w:ascii="仿宋_GB2312" w:eastAsia="仿宋_GB2312" w:hint="eastAsia"/>
          <w:color w:val="000000"/>
          <w:sz w:val="32"/>
          <w:szCs w:val="32"/>
        </w:rPr>
        <w:t>《食品安全国家标准 特殊医学用途配方食品通则》（GB2992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2）和</w:t>
      </w:r>
      <w:r w:rsidRPr="00334529">
        <w:rPr>
          <w:rFonts w:ascii="仿宋_GB2312" w:eastAsia="仿宋_GB2312" w:hint="eastAsia"/>
          <w:color w:val="000000"/>
          <w:sz w:val="32"/>
          <w:szCs w:val="32"/>
        </w:rPr>
        <w:t>《食品安全国家标准 特殊医学用途婴儿配方食品通则》（GB25596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）</w:t>
      </w:r>
      <w:r w:rsidRPr="00334529">
        <w:rPr>
          <w:rFonts w:ascii="仿宋_GB2312" w:eastAsia="仿宋_GB2312" w:hint="eastAsia"/>
          <w:color w:val="000000"/>
          <w:sz w:val="32"/>
          <w:szCs w:val="32"/>
        </w:rPr>
        <w:t>规定的产品类别（分类）进行标注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 w:cs="Arial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[配料表] 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按《食品安全国家标准 预包装食品标签通则》（GB7718</w:t>
      </w:r>
      <w:r w:rsidR="00E31773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—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2011）要求的书写顺序列出产品</w:t>
      </w:r>
      <w:r w:rsidRPr="00334529">
        <w:rPr>
          <w:rStyle w:val="a3"/>
          <w:rFonts w:ascii="仿宋_GB2312" w:eastAsia="仿宋_GB2312" w:hAnsi="仿宋"/>
          <w:color w:val="000000"/>
          <w:sz w:val="32"/>
          <w:szCs w:val="32"/>
          <w:u w:val="none"/>
        </w:rPr>
        <w:t>中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使用</w:t>
      </w:r>
      <w:r w:rsidRPr="00334529">
        <w:rPr>
          <w:rStyle w:val="a3"/>
          <w:rFonts w:ascii="仿宋_GB2312" w:eastAsia="仿宋_GB2312" w:hAnsi="仿宋"/>
          <w:color w:val="000000"/>
          <w:sz w:val="32"/>
          <w:szCs w:val="32"/>
          <w:u w:val="none"/>
        </w:rPr>
        <w:t>的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所有原料和食品添加剂。使用的原料、食品添加剂属于复合原</w:t>
      </w:r>
      <w:r w:rsidRPr="00334529">
        <w:rPr>
          <w:rStyle w:val="a3"/>
          <w:rFonts w:ascii="仿宋_GB2312" w:eastAsia="仿宋_GB2312" w:hAnsi="仿宋" w:cs="Arial" w:hint="eastAsia"/>
          <w:color w:val="000000"/>
          <w:sz w:val="32"/>
          <w:szCs w:val="32"/>
          <w:u w:val="none"/>
        </w:rPr>
        <w:t>料的，应逐一列明各组分名称。</w:t>
      </w:r>
    </w:p>
    <w:p w:rsidR="00334529" w:rsidRPr="00334529" w:rsidRDefault="00334529" w:rsidP="00334529">
      <w:pPr>
        <w:spacing w:line="594" w:lineRule="exact"/>
        <w:ind w:firstLineChars="196" w:firstLine="630"/>
        <w:rPr>
          <w:rFonts w:ascii="仿宋_GB2312" w:eastAsia="仿宋_GB2312" w:hAnsi="ˎ̥" w:cs="Arial" w:hint="eastAsia"/>
          <w:kern w:val="0"/>
          <w:sz w:val="32"/>
          <w:szCs w:val="32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[营养成分表] </w:t>
      </w:r>
      <w:r w:rsidRPr="00334529">
        <w:rPr>
          <w:rFonts w:ascii="仿宋_GB2312" w:eastAsia="仿宋_GB2312" w:hAnsi="宋体" w:hint="eastAsia"/>
          <w:color w:val="000000"/>
          <w:sz w:val="32"/>
          <w:szCs w:val="32"/>
        </w:rPr>
        <w:t>标签上</w:t>
      </w:r>
      <w:r w:rsidRPr="00334529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以“方框表”的形式标示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每100g（克）和（或）每100mL（毫升）、以及</w:t>
      </w:r>
      <w:r w:rsidRPr="00334529">
        <w:rPr>
          <w:rFonts w:ascii="仿宋_GB2312" w:eastAsia="仿宋_GB2312" w:hAnsi="宋体" w:hint="eastAsia"/>
          <w:color w:val="000000"/>
          <w:sz w:val="32"/>
          <w:szCs w:val="32"/>
        </w:rPr>
        <w:t>每100千焦（100kJ）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产品中的能量</w:t>
      </w:r>
      <w:r w:rsidRPr="00334529"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>（kJ或kcal）、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营养素和可选择成分含量；选择性标示每份产品中的能量</w:t>
      </w:r>
      <w:r w:rsidRPr="00334529">
        <w:rPr>
          <w:rFonts w:ascii="仿宋_GB2312" w:eastAsia="仿宋_GB2312" w:hAnsi="ˎ̥" w:cs="Arial" w:hint="eastAsia"/>
          <w:color w:val="000000"/>
          <w:kern w:val="0"/>
          <w:sz w:val="32"/>
          <w:szCs w:val="32"/>
        </w:rPr>
        <w:t>（kJ或kcal）、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营养素和可选择成分的含量。</w:t>
      </w:r>
      <w:r w:rsidRPr="00334529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当用份标示时，应标明每份产品的量。</w:t>
      </w:r>
    </w:p>
    <w:p w:rsidR="00334529" w:rsidRPr="00334529" w:rsidRDefault="00334529" w:rsidP="00334529">
      <w:pPr>
        <w:spacing w:line="594" w:lineRule="exact"/>
        <w:ind w:firstLine="645"/>
        <w:rPr>
          <w:rFonts w:ascii="仿宋_GB2312" w:eastAsia="仿宋_GB2312" w:hAnsi="Verdana" w:cs="宋体"/>
          <w:kern w:val="0"/>
          <w:sz w:val="32"/>
          <w:szCs w:val="32"/>
        </w:rPr>
      </w:pPr>
      <w:r w:rsidRPr="00334529">
        <w:rPr>
          <w:rFonts w:ascii="仿宋_GB2312" w:eastAsia="仿宋_GB2312" w:hAnsi="Verdana" w:cs="宋体" w:hint="eastAsia"/>
          <w:kern w:val="0"/>
          <w:sz w:val="32"/>
          <w:szCs w:val="32"/>
        </w:rPr>
        <w:t>能量、</w:t>
      </w:r>
      <w:r w:rsidRPr="00334529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营养素和可选择成分</w:t>
      </w:r>
      <w:r w:rsidRPr="00334529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使用食品安全国家标准规定的计量单位，</w:t>
      </w:r>
      <w:r w:rsidRPr="00334529">
        <w:rPr>
          <w:rFonts w:ascii="仿宋_GB2312" w:eastAsia="仿宋_GB2312" w:hAnsi="Verdana" w:cs="宋体" w:hint="eastAsia"/>
          <w:kern w:val="0"/>
          <w:sz w:val="32"/>
          <w:szCs w:val="32"/>
        </w:rPr>
        <w:t>标示数值可通过产品检测或原料计算获得。在产品保质期内，能量、</w:t>
      </w:r>
      <w:r w:rsidRPr="00334529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营养素和可选择成分</w:t>
      </w:r>
      <w:r w:rsidRPr="00334529">
        <w:rPr>
          <w:rFonts w:ascii="仿宋_GB2312" w:eastAsia="仿宋_GB2312" w:hAnsi="Verdana" w:cs="宋体" w:hint="eastAsia"/>
          <w:kern w:val="0"/>
          <w:sz w:val="32"/>
          <w:szCs w:val="32"/>
        </w:rPr>
        <w:t>的实际含量不应低于标示值的80%，并应符合</w:t>
      </w:r>
      <w:r w:rsidRPr="00334529">
        <w:rPr>
          <w:rFonts w:ascii="仿宋_GB2312" w:eastAsia="仿宋_GB2312" w:hAnsi="Verdana" w:cs="宋体" w:hint="eastAsia"/>
          <w:bCs/>
          <w:kern w:val="0"/>
          <w:sz w:val="32"/>
          <w:szCs w:val="32"/>
        </w:rPr>
        <w:t>特殊医学用途配方食品相应食品安全国家标准</w:t>
      </w:r>
      <w:r w:rsidRPr="00334529">
        <w:rPr>
          <w:rFonts w:ascii="仿宋_GB2312" w:eastAsia="仿宋_GB2312" w:hAnsi="Verdana" w:cs="宋体" w:hint="eastAsia"/>
          <w:kern w:val="0"/>
          <w:sz w:val="32"/>
          <w:szCs w:val="32"/>
        </w:rPr>
        <w:t>的要求。</w:t>
      </w:r>
    </w:p>
    <w:p w:rsidR="00334529" w:rsidRPr="00334529" w:rsidRDefault="00334529" w:rsidP="00334529">
      <w:pPr>
        <w:spacing w:line="594" w:lineRule="exact"/>
        <w:ind w:firstLine="645"/>
        <w:rPr>
          <w:rStyle w:val="a3"/>
          <w:rFonts w:ascii="仿宋_GB2312" w:eastAsia="仿宋_GB2312" w:hAnsi="仿宋"/>
          <w:b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lastRenderedPageBreak/>
        <w:t>[配方特点（营养学特征）]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应对产品的配方特点、配方原理或营养学特征进行描述或说明，包括对产品与适用人群疾病或医学状况的说明、产品中能量和营养成分的特征描述、配方原理的解释等。描述应客观、清晰、简洁，便于医生或临床营养师指导患者正确使用，不应导致使用者产生误解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[性状] 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描述产品应有的组织形态。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[适用人群] </w:t>
      </w:r>
      <w:r w:rsidRPr="00334529">
        <w:rPr>
          <w:rStyle w:val="a3"/>
          <w:rFonts w:ascii="仿宋_GB2312" w:eastAsia="仿宋_GB2312" w:hAnsi="仿宋" w:hint="eastAsia"/>
          <w:bCs/>
          <w:color w:val="000000"/>
          <w:sz w:val="32"/>
          <w:szCs w:val="32"/>
          <w:u w:val="none"/>
        </w:rPr>
        <w:t>根据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产品类别，</w:t>
      </w:r>
      <w:r w:rsidRPr="00334529">
        <w:rPr>
          <w:rStyle w:val="a3"/>
          <w:rFonts w:ascii="仿宋_GB2312" w:eastAsia="仿宋_GB2312" w:hAnsi="仿宋" w:hint="eastAsia"/>
          <w:bCs/>
          <w:color w:val="000000"/>
          <w:sz w:val="32"/>
          <w:szCs w:val="32"/>
          <w:u w:val="none"/>
        </w:rPr>
        <w:t>按照</w:t>
      </w:r>
      <w:r w:rsidRPr="00334529">
        <w:rPr>
          <w:rFonts w:ascii="仿宋_GB2312" w:eastAsia="仿宋_GB2312" w:hint="eastAsia"/>
          <w:color w:val="000000"/>
          <w:sz w:val="32"/>
          <w:szCs w:val="32"/>
        </w:rPr>
        <w:t>《食品安全国家标准 特殊医学用途配方食品通则》（GB2992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2）和</w:t>
      </w:r>
      <w:r w:rsidRPr="00334529">
        <w:rPr>
          <w:rFonts w:ascii="仿宋_GB2312" w:eastAsia="仿宋_GB2312" w:hint="eastAsia"/>
          <w:color w:val="000000"/>
          <w:sz w:val="32"/>
          <w:szCs w:val="32"/>
        </w:rPr>
        <w:t>《食品安全国家标准 特殊医学用途婴儿配方食品通则》（GB25596</w:t>
      </w:r>
      <w:r w:rsidRPr="00334529">
        <w:rPr>
          <w:rFonts w:ascii="仿宋_GB2312" w:eastAsia="仿宋_GB2312" w:hAnsi="仿宋" w:cs="Arial" w:hint="eastAsia"/>
          <w:color w:val="000000"/>
          <w:sz w:val="32"/>
          <w:szCs w:val="32"/>
        </w:rPr>
        <w:t>）规定的适用人群进行标注，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应准确、详细描述所有适用人群。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/>
          <w:b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[食用方法和食用量] </w:t>
      </w:r>
    </w:p>
    <w:p w:rsidR="00334529" w:rsidRPr="00334529" w:rsidRDefault="00334529" w:rsidP="00334529">
      <w:pPr>
        <w:adjustRightInd w:val="0"/>
        <w:snapToGrid w:val="0"/>
        <w:spacing w:line="594" w:lineRule="exact"/>
        <w:ind w:firstLineChars="197" w:firstLine="630"/>
        <w:rPr>
          <w:rStyle w:val="a3"/>
          <w:rFonts w:ascii="仿宋_GB2312" w:eastAsia="仿宋_GB2312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>1.食用方法，如口服(或)管饲，以及口服(或)管饲具体用法，包括服用方式、操作要求、食用前的冲调方法、产品应维持的温度、服用速度、产品保存方式等。</w:t>
      </w:r>
    </w:p>
    <w:p w:rsidR="00334529" w:rsidRPr="00334529" w:rsidRDefault="00334529" w:rsidP="00334529">
      <w:pPr>
        <w:spacing w:line="594" w:lineRule="exact"/>
        <w:ind w:firstLineChars="197" w:firstLine="630"/>
        <w:rPr>
          <w:rStyle w:val="a3"/>
          <w:rFonts w:ascii="仿宋_GB2312" w:eastAsia="仿宋_GB2312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>2.食用量，描述适用人群在不同营养状况、不同疾病状态下用量；食用量以“每次xx（重量或容量单位，如g、mg、ml等），每日xx次”表示，或以“每次xx（相应的计数单位，如包、瓶等），每日xx次”，或准确标示为ml/日，g/日，kcal/kg体重 ，kJ/kg体重。</w:t>
      </w:r>
    </w:p>
    <w:p w:rsidR="00334529" w:rsidRPr="00334529" w:rsidRDefault="00334529" w:rsidP="00334529">
      <w:pPr>
        <w:spacing w:line="594" w:lineRule="exact"/>
        <w:ind w:firstLineChars="200" w:firstLine="640"/>
        <w:rPr>
          <w:rStyle w:val="a3"/>
          <w:rFonts w:ascii="仿宋_GB2312" w:eastAsia="仿宋_GB2312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>3.不同适用人群，其食用量和食用方法不一致时，应分别描述。</w:t>
      </w:r>
    </w:p>
    <w:p w:rsidR="00334529" w:rsidRPr="00334529" w:rsidRDefault="00334529" w:rsidP="00334529">
      <w:pPr>
        <w:spacing w:line="594" w:lineRule="exact"/>
        <w:ind w:firstLineChars="200" w:firstLine="643"/>
        <w:rPr>
          <w:rStyle w:val="a3"/>
          <w:rFonts w:ascii="仿宋_GB2312" w:eastAsia="仿宋_GB2312" w:hAnsi="仿宋"/>
          <w:b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 xml:space="preserve">[净含量和规格] 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t>单件预包装食品标示净含量；同一预包装内含有多个单件预包装食品时，在标示净含量的同时还应标示规</w:t>
      </w:r>
      <w:r w:rsidRPr="00334529">
        <w:rPr>
          <w:rStyle w:val="a3"/>
          <w:rFonts w:ascii="仿宋_GB2312" w:eastAsia="仿宋_GB2312" w:hAnsi="仿宋" w:hint="eastAsia"/>
          <w:color w:val="000000"/>
          <w:sz w:val="32"/>
          <w:szCs w:val="32"/>
          <w:u w:val="none"/>
        </w:rPr>
        <w:lastRenderedPageBreak/>
        <w:t>格。</w:t>
      </w:r>
    </w:p>
    <w:p w:rsidR="00000000" w:rsidRDefault="00334529" w:rsidP="00AB261C">
      <w:pPr>
        <w:widowControl/>
        <w:spacing w:line="594" w:lineRule="exact"/>
        <w:ind w:firstLineChars="200" w:firstLine="643"/>
        <w:jc w:val="left"/>
        <w:rPr>
          <w:rStyle w:val="a3"/>
          <w:rFonts w:ascii="仿宋_GB2312" w:eastAsia="仿宋_GB2312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>[保质期]</w:t>
      </w: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 xml:space="preserve"> 按照食品安全国家标准和有关规定进行标注。</w:t>
      </w:r>
    </w:p>
    <w:p w:rsidR="00334529" w:rsidRPr="00334529" w:rsidRDefault="00334529" w:rsidP="00334529">
      <w:pPr>
        <w:widowControl/>
        <w:spacing w:line="594" w:lineRule="exact"/>
        <w:ind w:firstLine="600"/>
        <w:jc w:val="left"/>
        <w:rPr>
          <w:rStyle w:val="a3"/>
          <w:rFonts w:ascii="仿宋_GB2312" w:eastAsia="仿宋_GB2312" w:hAnsi="仿宋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>[贮存条件]</w:t>
      </w: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 xml:space="preserve"> 注明产品的贮存条件，如有必要，注明开封后的贮存条件。如果开封后的产品不易贮存或不宜在原包装容器内贮存，应向消费者特别提示。对贮存有特殊要求的产品，应在标签的醒目位置注明。</w:t>
      </w:r>
    </w:p>
    <w:p w:rsidR="00334529" w:rsidRPr="00334529" w:rsidRDefault="00334529" w:rsidP="00334529">
      <w:pPr>
        <w:widowControl/>
        <w:spacing w:line="594" w:lineRule="exact"/>
        <w:ind w:firstLineChars="200" w:firstLine="643"/>
        <w:rPr>
          <w:rStyle w:val="a3"/>
          <w:rFonts w:ascii="仿宋_GB2312" w:eastAsia="仿宋_GB2312"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>[警示说明和注意事项]</w:t>
      </w:r>
      <w:r w:rsidRPr="00334529">
        <w:rPr>
          <w:rFonts w:ascii="仿宋_GB2312" w:eastAsia="仿宋_GB2312" w:hAnsi="Helvetica" w:cs="Helvetica" w:hint="eastAsia"/>
          <w:color w:val="000000"/>
          <w:sz w:val="32"/>
          <w:szCs w:val="32"/>
        </w:rPr>
        <w:t>应在醒目位置标示“请在医生或临床营养师指导下使用”，“</w:t>
      </w:r>
      <w:r w:rsidRPr="00334529">
        <w:rPr>
          <w:rFonts w:ascii="仿宋_GB2312" w:eastAsia="仿宋_GB2312" w:hAnsi="仿宋" w:hint="eastAsia"/>
          <w:color w:val="000000"/>
          <w:sz w:val="32"/>
          <w:szCs w:val="32"/>
        </w:rPr>
        <w:t>不适用于非目标人群使用”</w:t>
      </w:r>
      <w:r w:rsidRPr="00334529">
        <w:rPr>
          <w:rFonts w:ascii="仿宋_GB2312" w:eastAsia="仿宋_GB2312" w:hAnsi="Helvetica" w:cs="Helvetica" w:hint="eastAsia"/>
          <w:color w:val="000000"/>
          <w:sz w:val="32"/>
          <w:szCs w:val="32"/>
        </w:rPr>
        <w:t>，</w:t>
      </w:r>
      <w:r w:rsidR="009672DC">
        <w:rPr>
          <w:rFonts w:ascii="仿宋_GB2312" w:eastAsia="仿宋_GB2312" w:hAnsi="Helvetica" w:cs="Helvetica" w:hint="eastAsia"/>
          <w:color w:val="000000"/>
          <w:sz w:val="32"/>
          <w:szCs w:val="32"/>
        </w:rPr>
        <w:t>全营养配方食品应注明“不适于具有特定疾病人群使用”，</w:t>
      </w:r>
      <w:r w:rsidRPr="00334529">
        <w:rPr>
          <w:rFonts w:ascii="仿宋_GB2312" w:eastAsia="仿宋_GB2312" w:hAnsi="Helvetica" w:cs="Helvetica" w:hint="eastAsia"/>
          <w:color w:val="000000"/>
          <w:sz w:val="32"/>
          <w:szCs w:val="32"/>
        </w:rPr>
        <w:t>“本品禁止用于肠外营养支持和静脉营养”，</w:t>
      </w:r>
      <w:r w:rsidRPr="00334529">
        <w:rPr>
          <w:rFonts w:ascii="仿宋_GB2312" w:eastAsia="仿宋_GB2312" w:cs="宋体" w:hint="eastAsia"/>
          <w:color w:val="000000"/>
          <w:sz w:val="32"/>
          <w:szCs w:val="32"/>
        </w:rPr>
        <w:t>“配制不当和使用不当可能引起XX危害”，</w:t>
      </w: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>“严禁XX人群使用或XX疾病状态下人群使用”</w:t>
      </w:r>
      <w:r w:rsidRPr="00334529">
        <w:rPr>
          <w:rFonts w:ascii="仿宋_GB2312" w:eastAsia="仿宋_GB2312" w:hAnsi="Helvetica" w:cs="Helvetica" w:hint="eastAsia"/>
          <w:color w:val="000000"/>
          <w:sz w:val="32"/>
          <w:szCs w:val="32"/>
        </w:rPr>
        <w:t>等警示说明。以及“</w:t>
      </w:r>
      <w:r w:rsidRPr="00334529">
        <w:rPr>
          <w:rFonts w:ascii="仿宋_GB2312" w:eastAsia="仿宋_GB2312" w:cs="宋体" w:hint="eastAsia"/>
          <w:color w:val="000000"/>
          <w:sz w:val="32"/>
          <w:szCs w:val="32"/>
        </w:rPr>
        <w:t>产品使用后可能引起不耐受（不适）”；</w:t>
      </w:r>
      <w:r w:rsidRPr="00334529">
        <w:rPr>
          <w:rStyle w:val="a3"/>
          <w:rFonts w:ascii="仿宋_GB2312" w:eastAsia="仿宋_GB2312" w:hint="eastAsia"/>
          <w:color w:val="000000"/>
          <w:sz w:val="32"/>
          <w:szCs w:val="32"/>
          <w:u w:val="none"/>
        </w:rPr>
        <w:t>“XX人群使用可能引起健康危害”；“使用期间应避免细菌污染”；“管饲系统应当正确使用”等注意事项</w:t>
      </w:r>
      <w:r w:rsidRPr="00334529">
        <w:rPr>
          <w:rFonts w:ascii="仿宋_GB2312" w:eastAsia="仿宋_GB2312" w:cs="宋体" w:hint="eastAsia"/>
          <w:color w:val="000000"/>
          <w:sz w:val="32"/>
          <w:szCs w:val="32"/>
        </w:rPr>
        <w:t>。</w:t>
      </w:r>
    </w:p>
    <w:p w:rsidR="00334529" w:rsidRPr="00334529" w:rsidRDefault="00334529" w:rsidP="00334529">
      <w:pPr>
        <w:widowControl/>
        <w:spacing w:line="594" w:lineRule="exact"/>
        <w:ind w:firstLineChars="200" w:firstLine="643"/>
        <w:rPr>
          <w:rStyle w:val="a3"/>
          <w:rFonts w:ascii="仿宋_GB2312" w:eastAsia="仿宋_GB2312" w:hAnsi="仿宋"/>
          <w:b/>
          <w:color w:val="000000"/>
          <w:sz w:val="32"/>
          <w:szCs w:val="32"/>
          <w:u w:val="none"/>
        </w:rPr>
      </w:pPr>
      <w:r w:rsidRPr="00334529">
        <w:rPr>
          <w:rStyle w:val="a3"/>
          <w:rFonts w:ascii="仿宋_GB2312" w:eastAsia="仿宋_GB2312" w:hAnsi="仿宋" w:hint="eastAsia"/>
          <w:b/>
          <w:color w:val="000000"/>
          <w:sz w:val="32"/>
          <w:szCs w:val="32"/>
          <w:u w:val="none"/>
        </w:rPr>
        <w:t>其他需要标注的内容</w:t>
      </w:r>
    </w:p>
    <w:p w:rsidR="00334529" w:rsidRPr="00334529" w:rsidRDefault="00334529" w:rsidP="00334529">
      <w:pPr>
        <w:widowControl/>
        <w:spacing w:line="594" w:lineRule="exact"/>
        <w:ind w:firstLineChars="200" w:firstLine="640"/>
        <w:jc w:val="left"/>
        <w:rPr>
          <w:rFonts w:ascii="仿宋_GB2312" w:eastAsia="仿宋_GB2312" w:cs="宋体"/>
          <w:color w:val="000000"/>
          <w:sz w:val="32"/>
          <w:szCs w:val="32"/>
        </w:rPr>
      </w:pPr>
      <w:r w:rsidRPr="00334529">
        <w:rPr>
          <w:rFonts w:ascii="仿宋_GB2312" w:eastAsia="仿宋_GB2312" w:cs="宋体" w:hint="eastAsia"/>
          <w:color w:val="000000"/>
          <w:sz w:val="32"/>
          <w:szCs w:val="32"/>
        </w:rPr>
        <w:t>1.早产/低出生体重儿配方食品应标示产品的渗透压；</w:t>
      </w:r>
    </w:p>
    <w:p w:rsidR="00334529" w:rsidRPr="00334529" w:rsidRDefault="00334529" w:rsidP="00334529">
      <w:pPr>
        <w:widowControl/>
        <w:spacing w:line="594" w:lineRule="exact"/>
        <w:ind w:firstLineChars="200" w:firstLine="640"/>
        <w:jc w:val="left"/>
        <w:rPr>
          <w:rFonts w:ascii="仿宋_GB2312" w:eastAsia="仿宋_GB2312" w:hAnsi="Verdana" w:cs="宋体"/>
          <w:bCs/>
          <w:kern w:val="0"/>
          <w:sz w:val="32"/>
          <w:szCs w:val="32"/>
        </w:rPr>
      </w:pPr>
      <w:r w:rsidRPr="00334529">
        <w:rPr>
          <w:rFonts w:ascii="仿宋_GB2312" w:eastAsia="仿宋_GB2312" w:cs="宋体" w:hint="eastAsia"/>
          <w:color w:val="000000"/>
          <w:sz w:val="32"/>
          <w:szCs w:val="32"/>
        </w:rPr>
        <w:t>2.可供6月龄以上婴儿食用的特殊医学用途配方食品，应标明“6月龄以上特殊医学状况婴儿食用本品时，应配合添加辅助食品”；</w:t>
      </w:r>
    </w:p>
    <w:p w:rsidR="00334529" w:rsidRPr="00334529" w:rsidRDefault="00334529" w:rsidP="00334529">
      <w:pPr>
        <w:widowControl/>
        <w:spacing w:line="594" w:lineRule="exact"/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 w:rsidRPr="00334529">
        <w:rPr>
          <w:rStyle w:val="a3"/>
          <w:rFonts w:ascii="仿宋_GB2312" w:eastAsia="仿宋_GB2312" w:hAnsi="仿宋" w:hint="eastAsia"/>
          <w:bCs/>
          <w:color w:val="000000"/>
          <w:sz w:val="32"/>
          <w:szCs w:val="32"/>
          <w:u w:val="none"/>
        </w:rPr>
        <w:t>3.“可作为唯一营养来源单独食用”或“不可作为唯一营养来源，应与XX食品配合食用</w:t>
      </w:r>
      <w:r w:rsidRPr="00334529">
        <w:rPr>
          <w:rStyle w:val="a3"/>
          <w:rFonts w:ascii="仿宋_GB2312" w:eastAsia="仿宋_GB2312" w:hAnsi="仿宋"/>
          <w:bCs/>
          <w:color w:val="000000"/>
          <w:sz w:val="32"/>
          <w:szCs w:val="32"/>
          <w:u w:val="none"/>
        </w:rPr>
        <w:t>”</w:t>
      </w:r>
      <w:r w:rsidRPr="00334529">
        <w:rPr>
          <w:rStyle w:val="a3"/>
          <w:rFonts w:ascii="仿宋_GB2312" w:eastAsia="仿宋_GB2312" w:hAnsi="仿宋" w:hint="eastAsia"/>
          <w:bCs/>
          <w:color w:val="000000"/>
          <w:sz w:val="32"/>
          <w:szCs w:val="32"/>
          <w:u w:val="none"/>
        </w:rPr>
        <w:t>等。</w:t>
      </w:r>
    </w:p>
    <w:p w:rsidR="004259B7" w:rsidRPr="00334529" w:rsidRDefault="004259B7"/>
    <w:sectPr w:rsidR="004259B7" w:rsidRPr="00334529" w:rsidSect="002904A8">
      <w:footerReference w:type="default" r:id="rId6"/>
      <w:pgSz w:w="11906" w:h="16838"/>
      <w:pgMar w:top="1701" w:right="1474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50E" w:rsidRDefault="0005250E">
      <w:r>
        <w:separator/>
      </w:r>
    </w:p>
  </w:endnote>
  <w:endnote w:type="continuationSeparator" w:id="1">
    <w:p w:rsidR="0005250E" w:rsidRDefault="00052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98875"/>
      <w:docPartObj>
        <w:docPartGallery w:val="Page Numbers (Bottom of Page)"/>
        <w:docPartUnique/>
      </w:docPartObj>
    </w:sdtPr>
    <w:sdtContent>
      <w:p w:rsidR="00B05552" w:rsidRDefault="002E72C0">
        <w:pPr>
          <w:pStyle w:val="a4"/>
          <w:jc w:val="center"/>
        </w:pPr>
        <w:r>
          <w:fldChar w:fldCharType="begin"/>
        </w:r>
        <w:r w:rsidR="00334529">
          <w:instrText xml:space="preserve"> PAGE   \* MERGEFORMAT </w:instrText>
        </w:r>
        <w:r>
          <w:fldChar w:fldCharType="separate"/>
        </w:r>
        <w:r w:rsidR="00AB261C" w:rsidRPr="00AB261C">
          <w:rPr>
            <w:noProof/>
            <w:lang w:val="zh-CN"/>
          </w:rPr>
          <w:t>2</w:t>
        </w:r>
        <w:r>
          <w:fldChar w:fldCharType="end"/>
        </w:r>
      </w:p>
    </w:sdtContent>
  </w:sdt>
  <w:p w:rsidR="00D87FEE" w:rsidRDefault="0005250E" w:rsidP="00B0555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50E" w:rsidRDefault="0005250E">
      <w:r>
        <w:separator/>
      </w:r>
    </w:p>
  </w:footnote>
  <w:footnote w:type="continuationSeparator" w:id="1">
    <w:p w:rsidR="0005250E" w:rsidRDefault="00052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29"/>
    <w:rsid w:val="0005250E"/>
    <w:rsid w:val="00103DAD"/>
    <w:rsid w:val="002E1206"/>
    <w:rsid w:val="002E72C0"/>
    <w:rsid w:val="002F02E7"/>
    <w:rsid w:val="002F6F64"/>
    <w:rsid w:val="00313770"/>
    <w:rsid w:val="00334529"/>
    <w:rsid w:val="00364A46"/>
    <w:rsid w:val="003F2075"/>
    <w:rsid w:val="004259B7"/>
    <w:rsid w:val="005B70A7"/>
    <w:rsid w:val="006427D2"/>
    <w:rsid w:val="00684902"/>
    <w:rsid w:val="00694CB5"/>
    <w:rsid w:val="00765C50"/>
    <w:rsid w:val="009672DC"/>
    <w:rsid w:val="00AB261C"/>
    <w:rsid w:val="00CD763E"/>
    <w:rsid w:val="00E31773"/>
    <w:rsid w:val="00E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4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29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529"/>
    <w:rPr>
      <w:color w:val="0000FF"/>
      <w:u w:val="single"/>
    </w:rPr>
  </w:style>
  <w:style w:type="character" w:customStyle="1" w:styleId="Char">
    <w:name w:val="页脚 Char"/>
    <w:link w:val="a4"/>
    <w:uiPriority w:val="99"/>
    <w:rsid w:val="00334529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"/>
    <w:uiPriority w:val="99"/>
    <w:rsid w:val="0033452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3452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E3177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31773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AB2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AB261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wxl</cp:lastModifiedBy>
  <cp:revision>6</cp:revision>
  <dcterms:created xsi:type="dcterms:W3CDTF">2016-03-22T07:30:00Z</dcterms:created>
  <dcterms:modified xsi:type="dcterms:W3CDTF">2016-04-18T07:58:00Z</dcterms:modified>
</cp:coreProperties>
</file>